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Отдел политики энергосбережения, топлив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о-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и газосн6абжения.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                                      Начальник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взаимодействие с предприятиями ТЭК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организует взаимодействие между ними;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работы по предоставлению субсидий из бюджета Забайкальского края юрид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проживающие населенных пунктах Забайкальского края, не обеспеченных централизованным электроснабжением;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заключение соглашений с юридическими лицами (за исключением государственных (муниципальных) учреждений), индивидуальными предпринимателями, снабжающим электрической энергией население, 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оживающие в населенных пунк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тах Забайкальского края, не обеспеченных централизованным электроснабжением;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 заполнения ГИС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Энергоэффективность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 проводимой органами местного самоуправления муниципальных образований Забайкальского края работы по энергосбережению, топливо- и газоснабжению;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 перспек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тивных к реализации на территории Забайкальского края мероприятий и участие в формировании благоприятных условий для их реализации, в том числе для инвестирования в строительство объектов электроэнергетики на основе возобновляемых источников энергии (ВИЭ);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координирдинация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организации и осуществление работы по разработке и реализации краевых целевых программ развития энергосбережения, топливо- и газоснабжения на территории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осуществлении государственной политики в области энергосбережения и повышения энергетической эффективности на территории Забайкальского края в пределах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и реализации концепции регионально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политики энергосбережения, краевых целевых программ развития энергосбережения и повышения энергетической эффективности, программ социально-экономического развития Забайкальского края, участвует в подготовке материалов при разработке федеральных программ;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и реализации программ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применения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экономике Забайкальского края возобновляемых источников энергии (ВИЭ) и нетрадиционной энергетики, обеспечивает взаимодействие заинтересованных органов и организаций, изучает передовой опыт применения ВИЭ регионов Российской Федерации и других стран.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2024-12-02T04:59:50Z</dcterms:modified>
</cp:coreProperties>
</file>